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B1" w:rsidRPr="006B6E51" w:rsidRDefault="00805DF1" w:rsidP="005203F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805DF1">
        <w:rPr>
          <w:rFonts w:ascii="Times New Roman" w:hAnsi="Times New Roman"/>
          <w:b/>
          <w:sz w:val="28"/>
          <w:szCs w:val="28"/>
        </w:rPr>
        <w:t>бобщенный отзыв от Российской Федерации</w:t>
      </w:r>
      <w:bookmarkStart w:id="0" w:name="_GoBack"/>
      <w:bookmarkEnd w:id="0"/>
    </w:p>
    <w:p w:rsidR="00390C65" w:rsidRPr="00390C65" w:rsidRDefault="00390C65" w:rsidP="00390C65">
      <w:pPr>
        <w:spacing w:after="0"/>
        <w:ind w:left="851" w:right="85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C65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первую редакцию </w:t>
      </w:r>
      <w:r w:rsidR="00B516A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516AE" w:rsidRPr="00B516AE">
        <w:rPr>
          <w:rFonts w:ascii="Times New Roman" w:eastAsia="Times New Roman" w:hAnsi="Times New Roman"/>
          <w:sz w:val="28"/>
          <w:szCs w:val="28"/>
          <w:lang w:eastAsia="ru-RU"/>
        </w:rPr>
        <w:t>екомендаци</w:t>
      </w:r>
      <w:r w:rsidR="00E96A5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B516AE" w:rsidRPr="00B516A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межгосударственной стандартизации</w:t>
      </w:r>
    </w:p>
    <w:p w:rsidR="00390C65" w:rsidRPr="00390C65" w:rsidRDefault="00E31B94" w:rsidP="00390C65">
      <w:pPr>
        <w:spacing w:after="0"/>
        <w:ind w:left="851" w:right="85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90C65" w:rsidRPr="00390C65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Государственная система обеспечения единства измерений. </w:t>
      </w:r>
    </w:p>
    <w:p w:rsidR="00390C65" w:rsidRPr="00390C65" w:rsidRDefault="00390C65" w:rsidP="00390C65">
      <w:pPr>
        <w:spacing w:after="0"/>
        <w:ind w:left="851" w:right="85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C65">
        <w:rPr>
          <w:rFonts w:ascii="Times New Roman" w:eastAsia="Times New Roman" w:hAnsi="Times New Roman"/>
          <w:sz w:val="28"/>
          <w:szCs w:val="28"/>
          <w:lang w:eastAsia="ru-RU"/>
        </w:rPr>
        <w:t>Термины по законодательной метрологии. Международный словарь»</w:t>
      </w:r>
    </w:p>
    <w:p w:rsidR="002D78D0" w:rsidRPr="00187EBB" w:rsidRDefault="00390C65" w:rsidP="00390C65">
      <w:pPr>
        <w:spacing w:after="0"/>
        <w:ind w:left="851" w:right="85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C65">
        <w:rPr>
          <w:rFonts w:ascii="Times New Roman" w:eastAsia="Times New Roman" w:hAnsi="Times New Roman"/>
          <w:sz w:val="28"/>
          <w:szCs w:val="28"/>
          <w:lang w:eastAsia="ru-RU"/>
        </w:rPr>
        <w:t>(шифр МГС №</w:t>
      </w:r>
      <w:r w:rsidR="00E31B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0C65">
        <w:rPr>
          <w:rFonts w:ascii="Times New Roman" w:eastAsia="Times New Roman" w:hAnsi="Times New Roman"/>
          <w:sz w:val="28"/>
          <w:szCs w:val="28"/>
          <w:lang w:eastAsia="ru-RU"/>
        </w:rPr>
        <w:t>UZ.3.001-2024)</w:t>
      </w:r>
    </w:p>
    <w:p w:rsidR="000274B1" w:rsidRPr="000A03E6" w:rsidRDefault="000274B1" w:rsidP="002D78D0">
      <w:pPr>
        <w:spacing w:after="0" w:line="360" w:lineRule="auto"/>
        <w:ind w:left="851" w:right="850"/>
        <w:jc w:val="center"/>
        <w:rPr>
          <w:rFonts w:ascii="Times New Roman" w:eastAsia="Times New Roman" w:hAnsi="Times New Roman"/>
          <w:szCs w:val="24"/>
          <w:lang w:eastAsia="ru-RU"/>
        </w:rPr>
      </w:pPr>
    </w:p>
    <w:tbl>
      <w:tblPr>
        <w:tblW w:w="5000" w:type="pct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58"/>
        <w:gridCol w:w="4203"/>
        <w:gridCol w:w="4677"/>
        <w:gridCol w:w="4388"/>
      </w:tblGrid>
      <w:tr w:rsidR="00590D6A" w:rsidRPr="000577E2" w:rsidTr="00590D6A">
        <w:trPr>
          <w:trHeight w:val="500"/>
          <w:tblHeader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90D6A" w:rsidRPr="000577E2" w:rsidRDefault="00590D6A" w:rsidP="000577E2">
            <w:pPr>
              <w:pStyle w:val="FORMATTEXT"/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Структурный элемент стандарта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90D6A" w:rsidRPr="000577E2" w:rsidRDefault="00590D6A" w:rsidP="000577E2">
            <w:pPr>
              <w:pStyle w:val="FORMATTEXT"/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Замечание, предложение</w:t>
            </w:r>
          </w:p>
        </w:tc>
        <w:tc>
          <w:tcPr>
            <w:tcW w:w="158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90D6A" w:rsidRPr="000577E2" w:rsidRDefault="00590D6A" w:rsidP="000577E2">
            <w:pPr>
              <w:pStyle w:val="FORMATTEXT"/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Предлагаемая редакция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0D6A" w:rsidRPr="000577E2" w:rsidRDefault="00590D6A" w:rsidP="000577E2">
            <w:pPr>
              <w:pStyle w:val="FORMATTEXT"/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Обоснование предлагаемой редакции</w:t>
            </w:r>
          </w:p>
        </w:tc>
      </w:tr>
      <w:tr w:rsidR="00590D6A" w:rsidRPr="000577E2" w:rsidTr="00590D6A"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Проект в целом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iCs/>
                <w:sz w:val="22"/>
                <w:szCs w:val="22"/>
              </w:rPr>
              <w:t>Предлагается изменить степень соответствия на модифицированную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В случаях выявления расхождений между определениями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VIML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и принятой в МГС терминологией (РМГ 29 и др.) включать соответствующие Примечания с пояснениями и уточнениями. Также проводить корректировку выявленных несогласований внутри самого документа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VIML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На уровне стран МГС действует </w:t>
            </w:r>
            <w:r w:rsidRPr="000577E2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РМГ 29, который включает термины </w:t>
            </w:r>
            <w:r w:rsidRPr="000577E2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VIM</w:t>
            </w:r>
            <w:r w:rsidRPr="000577E2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 некоторые термины </w:t>
            </w:r>
            <w:r w:rsidRPr="000577E2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VIML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. Часть понятий и определений из словаря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VIML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при их идентичном переводе расходятся с многолетней законодательной практикой применения таких понятий в РФ (например, в части аттестации, испытаний СИ,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межповерочных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интервалов и т.д.).</w:t>
            </w:r>
          </w:p>
        </w:tc>
      </w:tr>
      <w:tr w:rsidR="00590D6A" w:rsidRPr="000577E2" w:rsidTr="00590D6A"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Проект в целом</w:t>
            </w: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 xml:space="preserve">Согласно пояснительной записке к проекту РМГ «Государственная система обеспечения единства измерений. Термины по законодательной метрологии. Международный словарь (VIML)» (далее – проект РМГ) целью разработки данной рекомендации является внедрение в метрологическую практику государств-членов МГС терминов в области законодательной метрологии и оценки соответствия, признанных международным метрологическим сообществом. В проекте РМГ отсутствуют базовые понятия законодательной метрологии – «единство измерений», «единица </w:t>
            </w:r>
            <w:r w:rsidRPr="000577E2">
              <w:rPr>
                <w:rFonts w:ascii="Times New Roman" w:hAnsi="Times New Roman"/>
                <w:sz w:val="22"/>
              </w:rPr>
              <w:lastRenderedPageBreak/>
              <w:t>величины», «метрологические требования», «обязательные метрологические требования».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В разделе «Основные понятия» проекта РМГ отсутствуют такие термины, как «измерение» (при этом есть термин «максимальная допускаемая погрешность измерения», а также «показания», «погрешность показания»), «эталон», «методика (метод) измерений», (при этом есть термин «средство измерений»).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В разделе 2 «Деятельность в области законодательной метрологии» приведено несколько вариантов определения «утверждение типа», разные варианты термина «поверка», например, «предварительное исследование», «последующая поверка», «повторная оценка пригодности средства измерений», «первичная поверка средств измерений с применением системы менеджмента качества изготовителя», противоречащие законодательству Российской Федерации об обеспечении единства измерений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В разделе 4 «Классификация средств измерений» приведены термины, определения которых противоречат законодательству Российской Федерации об обеспечении единства измерений, например, «тип средства измерений или модуля», «образец утверждённого типа», «средство измерений, допускаемое к поверке»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lastRenderedPageBreak/>
              <w:t>Термины и определения, приведенные в разделах 4 «Классификация средств измерений» и 5 «Устройство и эксплуатация средств измерений» не относятся к законодательной метрологии.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Также, в соответствии с пунктом 0.01 проекта РМГ, метрология – наука об измерениях и их применении. Следовательно, термины и определения, приведенные в приложении А «Термины, относящиеся к оценке соответствия», не являются предметом регулирования представленного проекта РМГ.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При этом, ряд терминов приложения А, например, с А.24 по A.37, не имеют никакого отношения к предмету регулирования представленного проекта РМГ, а относятся к группе «Термины, относящиеся к содействию торговле и регулированию» согласно национальному стандарту ГОСТ Р ИСО/МЭК 17000-2022 «Оценка соответствия. Словарь и общие принципы», на который есть ссылка в пояснительной записке к проекту РМГ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Изложить соответствующие термины по законодательной метрологии с их определениями согласно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>2013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Проект повторяет OIML V 1:2013. В связи со значительным количеством неточностей в проекте, цель разработки проекта: гармонизация метрологических документов государств-членов МГС с международными документами в области метрологии – не может быть достигнута.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Практика применения РМГ 29 показывает, что документ уровня рекомендации по межгосударственной стандартизации не может решить задачу гармонизации метрологических документов государств-членов МГС с международными документами в области метрологии, так как в приоритет</w:t>
            </w:r>
            <w:r w:rsidRPr="000577E2">
              <w:rPr>
                <w:rFonts w:ascii="Times New Roman" w:hAnsi="Times New Roman"/>
                <w:sz w:val="22"/>
              </w:rPr>
              <w:lastRenderedPageBreak/>
              <w:t>ном порядке применяются нормы национального законодательства. Можно констатировать также, что VIML в принципе не может быть частью Государственной системы обеспечения единства измерений.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Проект РМГ требует глубокой переработки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 в целом</w:t>
            </w: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Отдельные замечания в части формулировок, связанных, видимо, некорректным переводом: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b/>
                <w:sz w:val="22"/>
              </w:rPr>
            </w:pPr>
            <w:r w:rsidRPr="000577E2">
              <w:rPr>
                <w:rFonts w:ascii="Times New Roman" w:hAnsi="Times New Roman"/>
                <w:b/>
                <w:sz w:val="22"/>
              </w:rPr>
              <w:t>2.08 аннулирование утверждения типа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решение законодательной значимости об отмене официального утверждения типа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b/>
                <w:sz w:val="22"/>
              </w:rPr>
            </w:pPr>
            <w:r w:rsidRPr="000577E2">
              <w:rPr>
                <w:rFonts w:ascii="Times New Roman" w:hAnsi="Times New Roman"/>
                <w:b/>
                <w:sz w:val="22"/>
              </w:rPr>
              <w:t>2.10 предварительное исследование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>проверка средства измерений либо на соответствие частичным требованиям, либо до установки определенных элементов средства измерений в рамках процедуры поверки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b/>
                <w:sz w:val="22"/>
              </w:rPr>
            </w:pPr>
            <w:r w:rsidRPr="000577E2">
              <w:rPr>
                <w:rFonts w:ascii="Times New Roman" w:hAnsi="Times New Roman"/>
                <w:b/>
                <w:sz w:val="22"/>
              </w:rPr>
              <w:t>2.11 выборочная поверка</w:t>
            </w:r>
          </w:p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hAnsi="Times New Roman"/>
                <w:sz w:val="22"/>
              </w:rPr>
              <w:t xml:space="preserve">поверка однородной партии средств измерений, основанная на результатах исследования статистически представительного 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Целесообразно рассмотреть вопрос прекращения дальнейших работ по разработке проекта и ограничиться доработкой РМГ 29 с учетом OIML V 1:2013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Что касается перевода VIML на русский язык, то следует вспомнить, что в 2012</w:t>
            </w:r>
            <w:r w:rsidR="0007041D"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7041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гг. в рамках ТК 2 КООМЕТ, ПК 2.1 «Гармонизация норм и правил» с координатором ФГУП «ВНИИМС» странами была выполнена работа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№ 550/RU/12 по теме «Перевод международного словаря законодательной метрологии VIML», завершённая 09.01.2018 (№ 401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 xml:space="preserve">04/784) и доступная на сайте 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Предисловие, 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 абзац</w:t>
            </w: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Не расшифрована аббревиатура МКЗМ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Дать определение «МКЗМ»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0.01</w:t>
            </w: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Предлагаемая редакция разработчиком: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0.01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метрология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en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metrology</w:t>
            </w:r>
            <w:proofErr w:type="spellEnd"/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fr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métrologie</w:t>
            </w:r>
            <w:proofErr w:type="spellEnd"/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наука об измерениях и их применении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[Словарь OIML V2-200:2012, 2.2]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Предлагаемая редакция ВНИИОФИ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0.01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метрология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en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metrology</w:t>
            </w:r>
            <w:proofErr w:type="spellEnd"/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fr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métrologie</w:t>
            </w:r>
            <w:proofErr w:type="spellEnd"/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научная и практическая деятельность, связанная с измерениями.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отношении термина метрология (п. 001, Основные термины), определяемым как «наука об измерениях и их применений» следует заметить: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ab/>
              <w:t>В настоящее время в областях человеческой деятельности, относимой к метрологии, выполняется множество действий, не относящихся к науке. Например, поверка, калибровка, экспертиза, утверждение типа, метрологический надзор. Эти виды деятельности не направлены на получение новых знаний, поэтому не могут относиться к науке.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ab/>
              <w:t>Значительная часть измерений, выполняемых в настоящее время в мире, также не связаны с наукой.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Учитывая вышеизложенное предлагаем формулировку определения понятия, метрология изложить в следующей редакции: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метрология – научная и практическая деятельность, связанная с измерениями.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0.01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 xml:space="preserve">2013 использовано уточняющее определение 2.1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Метрология</w:t>
            </w:r>
            <w:r w:rsidRPr="000577E2">
              <w:rPr>
                <w:rFonts w:ascii="Times New Roman" w:hAnsi="Times New Roman" w:cs="Times New Roman"/>
                <w:i/>
                <w:sz w:val="22"/>
                <w:szCs w:val="22"/>
              </w:rPr>
              <w:t>: Наука об измерениях, методах и средствах обеспечения их единства и способах достижения требуемой точности.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Гармонизация с терминологией, принятой в МГС 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0.02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Предлагаем использовать перевод, данный в РМГ 29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Международная система единиц; СИ: Система единиц, основанная на Международной системе величин, вместе с наименованиями и обозначениями, а также набором приставок и </w:t>
            </w:r>
            <w:proofErr w:type="gram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их наименованиями</w:t>
            </w:r>
            <w:proofErr w:type="gram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и обозначениями вместе с правилами их применения, принятая Генеральной конференцией по мерам и весам (ГКМВ).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Гармонизация с терминологией, принятой в МГС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Стр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2 сноска 1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Использовать следующую формулировку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2019 году состоялся пересмотр определения СИ, в котором все единицы, особенно основные, выражаются через определяющие их константы.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Уточнение перевода 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2"/>
                <w:lang w:eastAsia="ru-RU"/>
              </w:rPr>
            </w:pPr>
            <w:r w:rsidRPr="000577E2">
              <w:rPr>
                <w:rFonts w:ascii="Times New Roman" w:eastAsia="Times New Roman" w:hAnsi="Times New Roman"/>
                <w:sz w:val="22"/>
                <w:lang w:val="en-US" w:eastAsia="ru-RU"/>
              </w:rPr>
              <w:t>0.04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Примечание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Под опорным значением величины понимают значение, формируемое средством измерения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Поскольку непонятно, об опорном значении какой величины идет речь добавить (см Примечание 2 к 0.03)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2"/>
                <w:lang w:eastAsia="ru-RU"/>
              </w:rPr>
            </w:pPr>
            <w:r w:rsidRPr="000577E2">
              <w:rPr>
                <w:rFonts w:ascii="Times New Roman" w:eastAsia="Times New Roman" w:hAnsi="Times New Roman"/>
                <w:sz w:val="22"/>
                <w:lang w:val="en-US" w:eastAsia="ru-RU"/>
              </w:rPr>
              <w:t>0.04</w:t>
            </w:r>
          </w:p>
          <w:p w:rsidR="00590D6A" w:rsidRPr="000577E2" w:rsidRDefault="00590D6A" w:rsidP="000577E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2"/>
                <w:lang w:eastAsia="ru-RU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термины из РМГ 29: 5.16 погрешность и 7.6 погрешность средства измерения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5.16 "погрешность (результата измерения): Разность между измеренным значением величины и опорным значением величины"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7.6 погрешность средства измерений: Разность между показанием средства измерений и известным опорным (действительным) значением величины.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Добавление терминов позволит избежать неоднозначного толкования близких понятий.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0.05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Уточнение </w:t>
            </w:r>
            <w:r w:rsidRPr="000577E2">
              <w:rPr>
                <w:rFonts w:ascii="Times New Roman" w:hAnsi="Times New Roman" w:cs="Times New Roman"/>
                <w:i/>
                <w:sz w:val="22"/>
                <w:szCs w:val="22"/>
              </w:rPr>
              <w:t>«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относительно известного опорного значения величины» является избыточным. Известное опорное значение необходимо для оценивания погрешности и/или подтверждения ее нахождения в заданных пределах при поверке и калибровке.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</w:t>
            </w:r>
            <w:r w:rsidR="00484C3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484C3D">
              <w:rPr>
                <w:rFonts w:ascii="Times New Roman" w:hAnsi="Times New Roman" w:cs="Times New Roman"/>
                <w:sz w:val="22"/>
                <w:szCs w:val="22"/>
              </w:rPr>
              <w:noBreakHyphen/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2013 определение не содержит слов: </w:t>
            </w:r>
            <w:r w:rsidRPr="000577E2">
              <w:rPr>
                <w:rFonts w:ascii="Times New Roman" w:hAnsi="Times New Roman" w:cs="Times New Roman"/>
                <w:i/>
                <w:sz w:val="22"/>
                <w:szCs w:val="22"/>
              </w:rPr>
              <w:t>«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относительно известного опорного значения величины».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спецификациях при установлении максимальной допустимой погрешности не используется известное опорное значение. А при поверке, калибровке известное опорное значение необходимо для оценивания погрешности и/или подтверждения ее нахождения в заданных пределах.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2"/>
                <w:lang w:eastAsia="ru-RU"/>
              </w:rPr>
            </w:pPr>
            <w:r w:rsidRPr="000577E2">
              <w:rPr>
                <w:rFonts w:ascii="Times New Roman" w:eastAsia="Times New Roman" w:hAnsi="Times New Roman"/>
                <w:sz w:val="22"/>
                <w:lang w:val="en-US" w:eastAsia="ru-RU"/>
              </w:rPr>
              <w:t>0.06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Примечание:</w:t>
            </w:r>
          </w:p>
          <w:p w:rsidR="00590D6A" w:rsidRPr="000577E2" w:rsidRDefault="00590D6A" w:rsidP="0097206C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</w:t>
            </w:r>
            <w:r w:rsidR="0097206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97206C">
              <w:rPr>
                <w:rFonts w:ascii="Times New Roman" w:hAnsi="Times New Roman" w:cs="Times New Roman"/>
                <w:sz w:val="22"/>
                <w:szCs w:val="22"/>
              </w:rPr>
              <w:noBreakHyphen/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2013 используется термин 7.13 «основная погрешность (средства измерений)», определенный как: «Погрешность средства измерений, применяемого в нормальных условиях.»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 используется термин «основная погрешность (средства измерений)», учитывая важность и распространенность данного термина предлагается добавить примечание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0.08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>2013 используется термин 7.45 нормированные условия измерений (рабочие условия измерений):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Традиционно в русскоязычной терминологии используется термин рабочие условия измерений, поэтому предлагается добавить примечание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0.08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 комплексном рассмотрении двух последовательных определений терминов 0.08 «нормированные условия эксплуатации» и 0.09 «нормальные условия эксплуатации», можно сделать вывод, что в 0.08 дается определение рабочих условий эксплуатации. Предлагается заменить «нормированные» на «рабочие»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0.08 рабочие условия эксплуатации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Условия эксплуатации средств измерений нормируются отдельно для нормальных и рабочих условий. При наличии определения термина «нормальные условия эксплуатации» в 0.09 логичным является дать определение термину «рабочие условия эксплуатации», которое по сути и содержит 0.08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0.09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>2013 используется термин 7.43 нормальные условия (измерений)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Традиционно в русскоязычной терминологии используется термин Нормальные условия измерений, поэтому предлагается добавить примечание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0.10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 xml:space="preserve">2013 используется определение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6.2 средство измерений: Техническое средство, предназначенное для измерений и имеющее нормированные (установленные) метрологические характеристики.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Для проведения измерений необходимо чтобы устройство имело установленные метрологические характеристики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>2013 используется определение 9.6 калибровка (средств измерений): Совокупность операций, устанавливающих соотношение между значением величины, полученным с помощью данного средства измерений и соответствующим значением величины, определенным с помощью эталона с целью определения метрологических характеристик этого средства измерений.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>2013 используется определение 9.6 калибровка (средств измерений):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формулировке определения «…показаний, следующих заданным значениям величины…» выбор варианта «следующих» как эквивалента на русском для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corresponding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не вполне уместно, поскольку не отражает суть определения. Предлагается заменить на «соответствующих»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регулировка измерительной системы (регулировка)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совокупность операций, которые применяются к измерительной системе, для обеспечения требуемых показаний,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соответствующих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заданным значениям величины, подлежащей измерению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отдельного слова в определении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1.02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Исходя из содержания определения, касающегося системы нормативно-правовых актов, включающего и законодательные и подзаконные акты, перевод термина «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law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более уместен как «законодательство», а не как «закон»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1.02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законодательство о метрологии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наименования термина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2.04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"оценка типа (образца)" – такой процедуры в РФ нет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Указанная процедура часто называется «испытанием с целью утверждения типа» 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, по контексту похоже на то, что речь про испытания в целях утв. типа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"признание утверждения типа" – прямо противоречит ПМГ 06 в части "без выдачи нового сертификата (свидетельства) об официальном утверждении типа"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законодательное решение, принимаемое стороной либо добровольно, либо на основе двух- или многосторонней договоренности, согласно которой тип, утвержденный другой стороной, признается удовлетворяющим установленным требованиям, без проведения повторных испытаний в целях утверждения типа (без проведения экспериментальных исследований" или "по результатам экспертизы материалов утверждения типа")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aa"/>
              <w:spacing w:before="0" w:beforeAutospacing="0" w:after="0" w:afterAutospacing="0"/>
              <w:ind w:left="57" w:right="57" w:firstLine="170"/>
              <w:jc w:val="both"/>
              <w:rPr>
                <w:sz w:val="22"/>
                <w:szCs w:val="22"/>
              </w:rPr>
            </w:pPr>
            <w:r w:rsidRPr="000577E2">
              <w:rPr>
                <w:sz w:val="22"/>
                <w:szCs w:val="22"/>
              </w:rPr>
              <w:t xml:space="preserve">согласно ПМГ 06 (-2019, -2024) при признании НЕ проводятся только </w:t>
            </w:r>
            <w:r w:rsidRPr="000577E2">
              <w:rPr>
                <w:b/>
                <w:bCs/>
                <w:sz w:val="22"/>
                <w:szCs w:val="22"/>
              </w:rPr>
              <w:t>новые</w:t>
            </w:r>
            <w:r w:rsidRPr="000577E2">
              <w:rPr>
                <w:sz w:val="22"/>
                <w:szCs w:val="22"/>
              </w:rPr>
              <w:t xml:space="preserve"> испытания в целях утверждения типа, а "</w:t>
            </w:r>
            <w:r w:rsidRPr="000577E2">
              <w:rPr>
                <w:i/>
                <w:iCs/>
                <w:sz w:val="22"/>
                <w:szCs w:val="22"/>
              </w:rPr>
              <w:t>сертификат (свидетельство)</w:t>
            </w:r>
            <w:r w:rsidRPr="000577E2">
              <w:rPr>
                <w:sz w:val="22"/>
                <w:szCs w:val="22"/>
              </w:rPr>
              <w:t>" как раз выдается. Тут есть еще один момент, в РФ даже и сертификат (свидетельство) не выдается, а утверждение типа осуществляется внесением сведений об утвержденном типе СИ в ФИФ ОЕИ.</w:t>
            </w:r>
          </w:p>
          <w:p w:rsidR="00590D6A" w:rsidRPr="000577E2" w:rsidRDefault="00590D6A" w:rsidP="000577E2">
            <w:pPr>
              <w:pStyle w:val="aa"/>
              <w:spacing w:before="0" w:beforeAutospacing="0" w:after="0" w:afterAutospacing="0"/>
              <w:ind w:left="57" w:right="57" w:firstLine="170"/>
              <w:jc w:val="both"/>
              <w:rPr>
                <w:sz w:val="22"/>
                <w:szCs w:val="22"/>
              </w:rPr>
            </w:pPr>
            <w:r w:rsidRPr="000577E2">
              <w:rPr>
                <w:sz w:val="22"/>
                <w:szCs w:val="22"/>
              </w:rPr>
              <w:t>См. формулировку ПМГ 06</w:t>
            </w:r>
            <w:r w:rsidRPr="000577E2">
              <w:rPr>
                <w:sz w:val="22"/>
                <w:szCs w:val="22"/>
              </w:rPr>
              <w:noBreakHyphen/>
              <w:t>2024, п. 2.8:</w:t>
            </w:r>
          </w:p>
          <w:p w:rsidR="00590D6A" w:rsidRPr="000577E2" w:rsidRDefault="00590D6A" w:rsidP="000577E2">
            <w:pPr>
              <w:pStyle w:val="aa"/>
              <w:spacing w:before="0" w:beforeAutospacing="0" w:after="0" w:afterAutospacing="0"/>
              <w:ind w:left="57" w:right="57" w:firstLine="170"/>
              <w:jc w:val="both"/>
              <w:rPr>
                <w:sz w:val="22"/>
                <w:szCs w:val="22"/>
              </w:rPr>
            </w:pPr>
            <w:r w:rsidRPr="000577E2">
              <w:rPr>
                <w:sz w:val="22"/>
                <w:szCs w:val="22"/>
              </w:rPr>
              <w:t>"Национальный орган направляет соответствующее уведомление заявителю и размещает сведения о признании утверждения типа СИ и первичной поверки в информационном фонде в области обеспечения единства измерений."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2.09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В 0.10 приводится определение термина «средство измерений». Термин «средство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измерения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не используется, хотя периодически встречается по тексту Рекомендаций, в том числе в п 3.05, 5.09.</w:t>
            </w:r>
          </w:p>
          <w:p w:rsidR="00590D6A" w:rsidRPr="000577E2" w:rsidRDefault="00590D6A" w:rsidP="0097206C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Предлагается привести в соответствие с</w:t>
            </w:r>
            <w:r w:rsidR="0097206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2.09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поверка средства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измерений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Приведение термина в соответствие с 0.10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2.09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Примечание: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 РМГ 29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noBreakHyphen/>
              <w:t xml:space="preserve">2013 используется определение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9.9 </w:t>
            </w:r>
            <w:r w:rsidRPr="000577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поверка (средств измерений):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Установление официально уполномоченным органом пригодности </w:t>
            </w:r>
            <w:r w:rsidRPr="000577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средства измерений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к применению на основании экспериментально определяемых </w:t>
            </w:r>
            <w:r w:rsidRPr="000577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метрологических характеристик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и подтверждения их соответствия установленным обязательным требованиям.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Гармонизация с терминологией, принятой в МГС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2.15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Перевод слова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rejection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как браковка не является оптимальным. Предлагается выбрать вариант перевода как «признание непригодным»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2.15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признание непригодным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измерений (запрет на применение средства измерений)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отдельного слова в определении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2.16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В тексте определения «решение, имеющее юридическую силу, о том, что средство измерений после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решение, имеющее юридическую силу, о том, что средство измерений после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его </w:t>
            </w: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забраковки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было приведено в соответствие с инструмент после его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дисквалификации был приведено в соответствие с установленными требованиями и его использование в случаях, требующих обязательной поверки, более не запрещено» присутствуют лишние слова, искажающие смысл оригинального определения. Предлагается их убрать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решение, имеющее юридическую силу о том, что средство измерений после его дисквалификации было приведено в соответствие с установленными требованиями и его использование в случаях, требующих обязательной поверки, более не запрещено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Приведение текста определения в соответствие с переводом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2.16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Опечатки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Повторное подтверждение соответствия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решение, имеющее юридическую силу, о том, что средство измерений после его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забраковки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было приведено в соответствие с установленными требованиями и его использование в случаях, требующих обязательного соответствия требованиям, более не запрещено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Исправить опечатки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2.16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Убрать слова «с инструмент после его дисквалификации был приведено в соответствие»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повторная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пригодности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измерений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en requalification of a measuring instrument 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remise en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conformit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d’un instrument de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mesure</w:t>
            </w:r>
            <w:proofErr w:type="spellEnd"/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решение, имеющее юридическую силу, о том, что средство измерений после его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забраковки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было приведено в соответствие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с установленными требованиями и его использование в случаях, требующих обязательной поверки, более не запрещено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Опечатка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2.23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Нарушена логика трактовки терминов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первичная поверка средств измерений с применением системы менеджмента качества изготовителя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поверка</w:t>
            </w:r>
            <w:proofErr w:type="gram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проводимая с учетом декларации изготовителя средства измерений об их соответствии законодательным метрологическим требованиям по первичной поверке; декларация допускается при условии, что изготовитель имеет систему менеджмента качества, введенную и признанную компетентным органом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Пунктом 2.23 устанавливается факт того, что «поверка» может быть сопоставлена «декларированию», что некорректно.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4.02 и далее по тексту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Не определено о какой именно «Рекомендации МОЗМ» идет речь.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семейство средств измерений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идентифицируемая группа средств измерений, принадлежащих к одному производимому типу в пределах одного рода, которые имеют одинаковые конструктивные особенности и метрологические принципы измерений, но которые могут отличаться по некоторым метрологическим и техническим характеристикам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Если из текста определения убрать упоминание о «конкретной рекомендации МОЗМ Р» трактовка термина становится однозначной и отвязанной от наличия/отсутствия это конкретной Рекомендации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4.03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Нарушена логика трактовки терминов: в определении термина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метрологически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значимый»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должен участвовать термин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«5.05 первичное показание»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метрологически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значимый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атрибут любого устройства, прибора, функции или программного обеспечения, влияющий на результат измерения или любое другое первичное показание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Уточнение текста 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Добавить примечание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Примечание: В РМГ 29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noBreakHyphen/>
              <w:t>13 используется определение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тип средства измерений: Совокупность средств измерений одного и того же назначения, основанных на одном и том же принципе действия, имеющих одинаковую конструкцию и изготовленных по одной и той же технической документации.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Гармонизация с терминологией, принятой в МГС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4.09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Некорректный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перевод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термина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«4.09 specimen of an approved type»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образец утвержденного типа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измерительный прибор утвержденного типа, который самостоятельно или вместе с соответствующей документацией служит в качестве источника опорных результатов измерений, например, для проверки соответствия приборов утвержденному типу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Serves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reference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» при переводе с английского как «используемый в качестве эталона» искажает суть термина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«образец утвержденного типа»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Для обозначения термина «эталон» в VIM используется «5.6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reference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standard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4.13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Опечатки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утверждённый тип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определённая модель или семейство средств измерений, разрешённые для узаконенного применения, подтвержденное наличием официального сертификата утверждения типа (свидетельства об утверждении типа)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Исправить опечатки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4.13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Определение не согласовано с определением 4.06 (тип СИ), определение содержит ошибки, полностью лишающие его смысла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тип средства измерений, разрешённый для узаконенного применения решением,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подтвержденным наличием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официального сертификата утверждения типа (свидетельства об утверждении типа)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Согласование с 4.06, исправление опечаток 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4.14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определения содержат ошибки, полностью лишающие его смысла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средство измерений утвержденного типа или средство измерений неутвержденного типа, удовлетворяющее установленным требованиям законодательства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spacing w:after="0" w:line="240" w:lineRule="auto"/>
              <w:ind w:left="57" w:right="57" w:firstLine="170"/>
              <w:jc w:val="both"/>
              <w:rPr>
                <w:rFonts w:ascii="Times New Roman" w:hAnsi="Times New Roman"/>
                <w:sz w:val="22"/>
              </w:rPr>
            </w:pPr>
            <w:r w:rsidRPr="000577E2">
              <w:rPr>
                <w:rFonts w:ascii="Times New Roman" w:eastAsia="Times New Roman" w:hAnsi="Times New Roman"/>
                <w:sz w:val="22"/>
                <w:lang w:eastAsia="ru-RU"/>
              </w:rPr>
              <w:t>Уточнение формулировки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4.14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В тексте определения «средство измерений утвержденного типа или удовлетворяющее установленным требованиям законодательства и может быть освобождено от утверждения типа» слова не согласуются друг с другом. Предлагается привести в соответствие 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средство измерений утвержденного типа или удовлетворяющее установленным требованиям законодательства,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которое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может быть освобождено от утверждения типа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Согласование слов в предложении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5.03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Перевод слова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quotient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как «часть» в данном контексте не подходит. Предлагается заменить на «отношение»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Отношение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максимального предела нагрузки весов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Max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к цене деления поверочной шкалы «е»: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n =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Max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/ e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отдельного слова в определении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Перевод слов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determine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the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conventional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value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как «контроля условленного значения» не является подходящим вариантом. Пропущен перевод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load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(s)». Предлагается заменить на «определения условного значения»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весоизмерительное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устройство, применяемое для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определения условного значения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массы испытательной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нагрузки (нагрузок)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отдельных слов в определении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5.05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Французский термин в VIML пишется как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«5.05 </w:t>
            </w: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indication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primaire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первичное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показание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en primary indication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fr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indication </w:t>
            </w: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primaire</w:t>
            </w:r>
            <w:proofErr w:type="spellEnd"/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Опечатка в французском термине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Опечатки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контрольный прибор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весоизмерительное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устройство, используемые для определения условного значения массы испытательного груза(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Исправить опечатки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5.09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Перевод слова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convert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как «конвертации» не является наиболее подходящим вариантом. Предлагается заменить на «преобразования»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средство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измерений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величины, отличающейся от измеряемой, значение которой используется для корректировки или </w:t>
            </w: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преобразования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результата измерений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отдельного слова в определении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5.10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Некорректный перевод 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терминал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цифровое устройство с одной или более клавишами (или мышью, или сенсорным экраном и т.д.) для управления прибором и дисплей для отображения результатов измерений через цифровой интерфейс или через аналоговое устройство обработки данных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5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Неудачный перевод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en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fault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» (или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fr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dé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faut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») как «ошибка»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5.12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ошибка индикации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en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fault</w:t>
            </w:r>
            <w:proofErr w:type="spellEnd"/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fr</w:t>
            </w:r>
            <w:proofErr w:type="spellEnd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défaut</w:t>
            </w:r>
            <w:proofErr w:type="spellEnd"/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разность между погрешностью показаний и основной погрешностью средства измерений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В инженерных расчетах под термином «ошибка» чаще понимают понятие близкое к метрологическому термину «погрешность» (из-за распространенного перевода «ошибка» как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error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»)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Принимая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внимание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что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«5.12 fault – difference between the error of indication and the intrinsic error of a measuring instrument»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формально является разницей погрешностей, но не самой погрешностью термин «ошибка» рекомендуется заменить.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5.13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Опечатки + согласование с 5.12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предел ошибки индикации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значение, указанное в соответствующей Рекомендации МОЗМ Р, используемое для разграничения незначительных ошибок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5.14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Согласование с 5.12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значимая ошибка индикации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ошибка индикации, превышающая её предельное значение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5.15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Исходя из содержания определения более подходящим переводом термина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durability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», возможно, является не «долговечность», а «надежность» или «срок службы». Рекомендуется заменить 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5.15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Надежность (срок службы)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наименования термина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6.01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Неправильный перевод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b/>
                <w:sz w:val="22"/>
                <w:szCs w:val="22"/>
              </w:rPr>
              <w:t>идентификационные признаки программного обеспечения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последовательность читаемых символов (например, номер версии, контрольная сумма), которая неразрывно связана с рассматриваемым программным обеспечением или программным модулем.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</w:t>
            </w:r>
            <w:proofErr w:type="gram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software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77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identification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» не обозначает «процесс идентификации». </w:t>
            </w:r>
          </w:p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Как следует из контекста определения речь в п.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6.01 идет о результатах, полученных в процессе идентификации</w:t>
            </w:r>
          </w:p>
        </w:tc>
      </w:tr>
      <w:tr w:rsidR="00590D6A" w:rsidRPr="000577E2" w:rsidTr="00590D6A">
        <w:trPr>
          <w:cantSplit/>
        </w:trPr>
        <w:tc>
          <w:tcPr>
            <w:tcW w:w="49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6.05</w:t>
            </w:r>
          </w:p>
          <w:p w:rsidR="00590D6A" w:rsidRPr="000577E2" w:rsidRDefault="00590D6A" w:rsidP="000577E2">
            <w:pPr>
              <w:pStyle w:val="FORMATTEXT"/>
              <w:suppressAutoHyphens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F90498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Более подходящим переводом для «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continuous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file</w:t>
            </w:r>
            <w:proofErr w:type="spellEnd"/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» является не «непрерывный файл данных», а «файл непрерывных данных»</w:t>
            </w:r>
          </w:p>
        </w:tc>
        <w:tc>
          <w:tcPr>
            <w:tcW w:w="158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файл непрерывных данных, содержащий информационную запись …</w:t>
            </w:r>
          </w:p>
        </w:tc>
        <w:tc>
          <w:tcPr>
            <w:tcW w:w="149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90D6A" w:rsidRPr="000577E2" w:rsidRDefault="00590D6A" w:rsidP="000577E2">
            <w:pPr>
              <w:pStyle w:val="FORMATTEXT"/>
              <w:ind w:left="57" w:right="57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7E2">
              <w:rPr>
                <w:rFonts w:ascii="Times New Roman" w:hAnsi="Times New Roman" w:cs="Times New Roman"/>
                <w:sz w:val="22"/>
                <w:szCs w:val="22"/>
              </w:rPr>
              <w:t>Наличие более подходящего варианта перевода слов в определении</w:t>
            </w:r>
          </w:p>
        </w:tc>
      </w:tr>
    </w:tbl>
    <w:p w:rsidR="0097483F" w:rsidRDefault="0097483F" w:rsidP="00503E0F">
      <w:pPr>
        <w:spacing w:after="0" w:line="360" w:lineRule="auto"/>
        <w:rPr>
          <w:rFonts w:ascii="Times New Roman" w:eastAsia="Times New Roman" w:hAnsi="Times New Roman"/>
          <w:szCs w:val="24"/>
          <w:lang w:eastAsia="ru-RU"/>
        </w:rPr>
      </w:pPr>
    </w:p>
    <w:p w:rsidR="00EB0E7C" w:rsidRDefault="00EB0E7C" w:rsidP="000274B1">
      <w:pPr>
        <w:spacing w:after="0" w:line="360" w:lineRule="auto"/>
        <w:jc w:val="center"/>
        <w:rPr>
          <w:rFonts w:ascii="Times New Roman" w:eastAsia="Times New Roman" w:hAnsi="Times New Roman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1"/>
        <w:gridCol w:w="4881"/>
        <w:gridCol w:w="299"/>
        <w:gridCol w:w="2071"/>
        <w:gridCol w:w="3190"/>
      </w:tblGrid>
      <w:tr w:rsidR="0097483F" w:rsidRPr="00A93546" w:rsidTr="006D101B">
        <w:tc>
          <w:tcPr>
            <w:tcW w:w="4361" w:type="dxa"/>
            <w:vAlign w:val="bottom"/>
          </w:tcPr>
          <w:p w:rsidR="0097483F" w:rsidRPr="00A93546" w:rsidRDefault="006D101B" w:rsidP="00563B8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Председатель ТК 206</w:t>
            </w:r>
          </w:p>
        </w:tc>
        <w:tc>
          <w:tcPr>
            <w:tcW w:w="4961" w:type="dxa"/>
            <w:vAlign w:val="bottom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00" w:type="dxa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  <w:vAlign w:val="bottom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233" w:type="dxa"/>
            <w:vAlign w:val="bottom"/>
          </w:tcPr>
          <w:p w:rsidR="0097483F" w:rsidRPr="006D101B" w:rsidRDefault="006D101B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101B">
              <w:rPr>
                <w:rFonts w:ascii="Times New Roman" w:eastAsia="Times New Roman" w:hAnsi="Times New Roman"/>
                <w:szCs w:val="24"/>
                <w:lang w:eastAsia="ru-RU"/>
              </w:rPr>
              <w:t>А.Н. Пронин</w:t>
            </w:r>
          </w:p>
        </w:tc>
      </w:tr>
      <w:tr w:rsidR="0097483F" w:rsidRPr="00A93546" w:rsidTr="006D101B">
        <w:trPr>
          <w:trHeight w:val="707"/>
        </w:trPr>
        <w:tc>
          <w:tcPr>
            <w:tcW w:w="4361" w:type="dxa"/>
          </w:tcPr>
          <w:p w:rsidR="0097483F" w:rsidRPr="00A93546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00" w:type="dxa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233" w:type="dxa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483F" w:rsidRPr="00A93546" w:rsidTr="006D101B">
        <w:trPr>
          <w:trHeight w:val="707"/>
        </w:trPr>
        <w:tc>
          <w:tcPr>
            <w:tcW w:w="4361" w:type="dxa"/>
            <w:vAlign w:val="bottom"/>
          </w:tcPr>
          <w:p w:rsidR="0097483F" w:rsidRPr="00A93546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97483F" w:rsidRPr="00A93546" w:rsidRDefault="006D101B" w:rsidP="00563B8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Ответственный секретарь ТК 206</w:t>
            </w:r>
          </w:p>
        </w:tc>
        <w:tc>
          <w:tcPr>
            <w:tcW w:w="4961" w:type="dxa"/>
            <w:vAlign w:val="bottom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00" w:type="dxa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  <w:vAlign w:val="bottom"/>
          </w:tcPr>
          <w:p w:rsidR="0097483F" w:rsidRPr="006D101B" w:rsidRDefault="0097483F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233" w:type="dxa"/>
            <w:vAlign w:val="bottom"/>
          </w:tcPr>
          <w:p w:rsidR="0097483F" w:rsidRPr="006D101B" w:rsidRDefault="006D101B" w:rsidP="00833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И.В. Викторов</w:t>
            </w:r>
          </w:p>
        </w:tc>
      </w:tr>
    </w:tbl>
    <w:p w:rsidR="003437ED" w:rsidRPr="000274B1" w:rsidRDefault="003437ED" w:rsidP="00833CF3">
      <w:pPr>
        <w:pStyle w:val="FORMATTEXT"/>
        <w:jc w:val="both"/>
        <w:rPr>
          <w:rFonts w:ascii="Times New Roman" w:hAnsi="Times New Roman" w:cs="Times New Roman"/>
          <w:sz w:val="18"/>
          <w:szCs w:val="18"/>
        </w:rPr>
      </w:pPr>
    </w:p>
    <w:sectPr w:rsidR="003437ED" w:rsidRPr="000274B1" w:rsidSect="0004517F">
      <w:footerReference w:type="default" r:id="rId8"/>
      <w:headerReference w:type="first" r:id="rId9"/>
      <w:pgSz w:w="16838" w:h="11906" w:orient="landscape"/>
      <w:pgMar w:top="993" w:right="962" w:bottom="850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915" w:rsidRDefault="00F67915" w:rsidP="008556F6">
      <w:pPr>
        <w:spacing w:after="0" w:line="240" w:lineRule="auto"/>
      </w:pPr>
      <w:r>
        <w:separator/>
      </w:r>
    </w:p>
  </w:endnote>
  <w:endnote w:type="continuationSeparator" w:id="0">
    <w:p w:rsidR="00F67915" w:rsidRDefault="00F67915" w:rsidP="0085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F6" w:rsidRPr="008556F6" w:rsidRDefault="00E14288">
    <w:pPr>
      <w:pStyle w:val="a8"/>
      <w:jc w:val="right"/>
      <w:rPr>
        <w:rFonts w:ascii="Times New Roman" w:hAnsi="Times New Roman"/>
      </w:rPr>
    </w:pPr>
    <w:r w:rsidRPr="008556F6">
      <w:rPr>
        <w:rFonts w:ascii="Times New Roman" w:hAnsi="Times New Roman"/>
      </w:rPr>
      <w:fldChar w:fldCharType="begin"/>
    </w:r>
    <w:r w:rsidR="008556F6" w:rsidRPr="008556F6">
      <w:rPr>
        <w:rFonts w:ascii="Times New Roman" w:hAnsi="Times New Roman"/>
      </w:rPr>
      <w:instrText xml:space="preserve"> PAGE   \* MERGEFORMAT </w:instrText>
    </w:r>
    <w:r w:rsidRPr="008556F6">
      <w:rPr>
        <w:rFonts w:ascii="Times New Roman" w:hAnsi="Times New Roman"/>
      </w:rPr>
      <w:fldChar w:fldCharType="separate"/>
    </w:r>
    <w:r w:rsidR="0004517F">
      <w:rPr>
        <w:rFonts w:ascii="Times New Roman" w:hAnsi="Times New Roman"/>
        <w:noProof/>
      </w:rPr>
      <w:t>10</w:t>
    </w:r>
    <w:r w:rsidRPr="008556F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915" w:rsidRDefault="00F67915" w:rsidP="008556F6">
      <w:pPr>
        <w:spacing w:after="0" w:line="240" w:lineRule="auto"/>
      </w:pPr>
      <w:r>
        <w:separator/>
      </w:r>
    </w:p>
  </w:footnote>
  <w:footnote w:type="continuationSeparator" w:id="0">
    <w:p w:rsidR="00F67915" w:rsidRDefault="00F67915" w:rsidP="00855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17F" w:rsidRDefault="0004517F" w:rsidP="0004517F">
    <w:pPr>
      <w:autoSpaceDN w:val="0"/>
      <w:spacing w:after="0" w:line="240" w:lineRule="auto"/>
      <w:ind w:firstLine="2892"/>
      <w:jc w:val="right"/>
    </w:pPr>
    <w:r w:rsidRPr="00E51B06">
      <w:rPr>
        <w:rFonts w:ascii="Times New Roman" w:eastAsia="Times New Roman" w:hAnsi="Times New Roman"/>
        <w:sz w:val="22"/>
        <w:lang w:eastAsia="ru-RU"/>
      </w:rPr>
      <w:t xml:space="preserve">Приложение № </w:t>
    </w:r>
    <w:r>
      <w:rPr>
        <w:rFonts w:ascii="Times New Roman" w:eastAsia="Times New Roman" w:hAnsi="Times New Roman"/>
        <w:sz w:val="22"/>
        <w:lang w:eastAsia="ru-RU"/>
      </w:rPr>
      <w:t>14</w:t>
    </w:r>
    <w:r w:rsidRPr="00E51B06">
      <w:rPr>
        <w:rFonts w:ascii="Times New Roman" w:eastAsia="Times New Roman" w:hAnsi="Times New Roman"/>
        <w:sz w:val="22"/>
        <w:lang w:eastAsia="ru-RU"/>
      </w:rPr>
      <w:t xml:space="preserve"> </w:t>
    </w:r>
    <w:r w:rsidRPr="00E51B06">
      <w:rPr>
        <w:rFonts w:ascii="Times New Roman" w:eastAsia="Times New Roman" w:hAnsi="Times New Roman"/>
        <w:sz w:val="22"/>
        <w:lang w:eastAsia="ru-RU"/>
      </w:rPr>
      <w:br/>
      <w:t xml:space="preserve">к протоколу РГ ОДМ </w:t>
    </w:r>
    <w:proofErr w:type="spellStart"/>
    <w:r w:rsidRPr="00E51B06">
      <w:rPr>
        <w:rFonts w:ascii="Times New Roman" w:eastAsia="Times New Roman" w:hAnsi="Times New Roman"/>
        <w:sz w:val="22"/>
        <w:lang w:eastAsia="ru-RU"/>
      </w:rPr>
      <w:t>НТКМетр</w:t>
    </w:r>
    <w:proofErr w:type="spellEnd"/>
    <w:r w:rsidRPr="00E51B06">
      <w:rPr>
        <w:rFonts w:ascii="Times New Roman" w:eastAsia="Times New Roman" w:hAnsi="Times New Roman"/>
        <w:bCs/>
        <w:iCs/>
        <w:sz w:val="22"/>
        <w:lang w:eastAsia="ru-RU"/>
      </w:rPr>
      <w:t xml:space="preserve"> № 26-2025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33990"/>
    <w:multiLevelType w:val="multilevel"/>
    <w:tmpl w:val="184C972A"/>
    <w:lvl w:ilvl="0"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4B1"/>
    <w:rsid w:val="00007C5A"/>
    <w:rsid w:val="00017232"/>
    <w:rsid w:val="000274B1"/>
    <w:rsid w:val="00036B36"/>
    <w:rsid w:val="00036E1C"/>
    <w:rsid w:val="00043852"/>
    <w:rsid w:val="0004517F"/>
    <w:rsid w:val="00050D5C"/>
    <w:rsid w:val="000550EF"/>
    <w:rsid w:val="00055D8C"/>
    <w:rsid w:val="000577E2"/>
    <w:rsid w:val="00063E61"/>
    <w:rsid w:val="0007041D"/>
    <w:rsid w:val="00071921"/>
    <w:rsid w:val="000754F8"/>
    <w:rsid w:val="000A03E6"/>
    <w:rsid w:val="000A33E8"/>
    <w:rsid w:val="000B11B5"/>
    <w:rsid w:val="000C07E3"/>
    <w:rsid w:val="000C7D98"/>
    <w:rsid w:val="000D2174"/>
    <w:rsid w:val="000D292D"/>
    <w:rsid w:val="000D2DC7"/>
    <w:rsid w:val="000D605B"/>
    <w:rsid w:val="000E1730"/>
    <w:rsid w:val="000E4E35"/>
    <w:rsid w:val="000F3C01"/>
    <w:rsid w:val="000F6032"/>
    <w:rsid w:val="00110289"/>
    <w:rsid w:val="001132CF"/>
    <w:rsid w:val="00115254"/>
    <w:rsid w:val="00116A16"/>
    <w:rsid w:val="001250E7"/>
    <w:rsid w:val="001253BF"/>
    <w:rsid w:val="0014553F"/>
    <w:rsid w:val="0014762B"/>
    <w:rsid w:val="001514C5"/>
    <w:rsid w:val="00151B1E"/>
    <w:rsid w:val="00157918"/>
    <w:rsid w:val="00166259"/>
    <w:rsid w:val="00177FB3"/>
    <w:rsid w:val="00180E49"/>
    <w:rsid w:val="001876E7"/>
    <w:rsid w:val="00187EBB"/>
    <w:rsid w:val="001A5DE3"/>
    <w:rsid w:val="001A6940"/>
    <w:rsid w:val="001B1825"/>
    <w:rsid w:val="001E0D7D"/>
    <w:rsid w:val="001E0E23"/>
    <w:rsid w:val="001F0AA8"/>
    <w:rsid w:val="001F10D2"/>
    <w:rsid w:val="00204A75"/>
    <w:rsid w:val="00205050"/>
    <w:rsid w:val="002166D1"/>
    <w:rsid w:val="00217CD9"/>
    <w:rsid w:val="00221B88"/>
    <w:rsid w:val="00231283"/>
    <w:rsid w:val="00246705"/>
    <w:rsid w:val="002472BC"/>
    <w:rsid w:val="00247509"/>
    <w:rsid w:val="002644D6"/>
    <w:rsid w:val="00277FAE"/>
    <w:rsid w:val="00287A31"/>
    <w:rsid w:val="002A0D9D"/>
    <w:rsid w:val="002B65C2"/>
    <w:rsid w:val="002D4534"/>
    <w:rsid w:val="002D78D0"/>
    <w:rsid w:val="002E2510"/>
    <w:rsid w:val="002E2DC6"/>
    <w:rsid w:val="002E6B8E"/>
    <w:rsid w:val="002E6BE4"/>
    <w:rsid w:val="002F3F54"/>
    <w:rsid w:val="002F6087"/>
    <w:rsid w:val="002F752C"/>
    <w:rsid w:val="00300EE6"/>
    <w:rsid w:val="00310715"/>
    <w:rsid w:val="00315B3B"/>
    <w:rsid w:val="00316970"/>
    <w:rsid w:val="00316973"/>
    <w:rsid w:val="003170C4"/>
    <w:rsid w:val="0032101F"/>
    <w:rsid w:val="003336AA"/>
    <w:rsid w:val="003437ED"/>
    <w:rsid w:val="00343E63"/>
    <w:rsid w:val="00344792"/>
    <w:rsid w:val="003453BA"/>
    <w:rsid w:val="0035042A"/>
    <w:rsid w:val="003623B1"/>
    <w:rsid w:val="00364E8E"/>
    <w:rsid w:val="00365466"/>
    <w:rsid w:val="00371513"/>
    <w:rsid w:val="00381AE8"/>
    <w:rsid w:val="00381BCB"/>
    <w:rsid w:val="00385500"/>
    <w:rsid w:val="003870AE"/>
    <w:rsid w:val="00390C65"/>
    <w:rsid w:val="00393331"/>
    <w:rsid w:val="003A21A0"/>
    <w:rsid w:val="003B108B"/>
    <w:rsid w:val="003C06CB"/>
    <w:rsid w:val="003C3897"/>
    <w:rsid w:val="003C3E48"/>
    <w:rsid w:val="003E127D"/>
    <w:rsid w:val="003E68F8"/>
    <w:rsid w:val="004011B3"/>
    <w:rsid w:val="00412A65"/>
    <w:rsid w:val="00414BC9"/>
    <w:rsid w:val="00416291"/>
    <w:rsid w:val="00422B63"/>
    <w:rsid w:val="00424E7C"/>
    <w:rsid w:val="00427AD1"/>
    <w:rsid w:val="0044099E"/>
    <w:rsid w:val="00467F89"/>
    <w:rsid w:val="00473CC7"/>
    <w:rsid w:val="00476749"/>
    <w:rsid w:val="00481C56"/>
    <w:rsid w:val="00484C3D"/>
    <w:rsid w:val="00490AC6"/>
    <w:rsid w:val="00494C47"/>
    <w:rsid w:val="00495ADF"/>
    <w:rsid w:val="004A0455"/>
    <w:rsid w:val="004B48AF"/>
    <w:rsid w:val="004C0A97"/>
    <w:rsid w:val="004C2B8B"/>
    <w:rsid w:val="004C486A"/>
    <w:rsid w:val="004C4A89"/>
    <w:rsid w:val="004D5979"/>
    <w:rsid w:val="004D7B68"/>
    <w:rsid w:val="004F4E75"/>
    <w:rsid w:val="00502644"/>
    <w:rsid w:val="00503753"/>
    <w:rsid w:val="00503E0F"/>
    <w:rsid w:val="005047A7"/>
    <w:rsid w:val="005203F2"/>
    <w:rsid w:val="00522858"/>
    <w:rsid w:val="00533F09"/>
    <w:rsid w:val="00542A2D"/>
    <w:rsid w:val="0055397E"/>
    <w:rsid w:val="005576D4"/>
    <w:rsid w:val="00561DFE"/>
    <w:rsid w:val="00563B85"/>
    <w:rsid w:val="00590D6A"/>
    <w:rsid w:val="005A4531"/>
    <w:rsid w:val="005A4D6D"/>
    <w:rsid w:val="005B239A"/>
    <w:rsid w:val="005D0CAE"/>
    <w:rsid w:val="005D5C41"/>
    <w:rsid w:val="005D78D1"/>
    <w:rsid w:val="005E69C9"/>
    <w:rsid w:val="005F68E4"/>
    <w:rsid w:val="005F79E2"/>
    <w:rsid w:val="006100EE"/>
    <w:rsid w:val="00626088"/>
    <w:rsid w:val="00626CCA"/>
    <w:rsid w:val="00633E56"/>
    <w:rsid w:val="00641B64"/>
    <w:rsid w:val="00644BC3"/>
    <w:rsid w:val="00651011"/>
    <w:rsid w:val="00651FAE"/>
    <w:rsid w:val="006579F8"/>
    <w:rsid w:val="006626CA"/>
    <w:rsid w:val="00667AEC"/>
    <w:rsid w:val="00691413"/>
    <w:rsid w:val="00694DC7"/>
    <w:rsid w:val="006B6E51"/>
    <w:rsid w:val="006C238E"/>
    <w:rsid w:val="006D07AE"/>
    <w:rsid w:val="006D101B"/>
    <w:rsid w:val="006D3508"/>
    <w:rsid w:val="006F47CD"/>
    <w:rsid w:val="006F52CE"/>
    <w:rsid w:val="00711438"/>
    <w:rsid w:val="00717E84"/>
    <w:rsid w:val="00731F1F"/>
    <w:rsid w:val="0075453A"/>
    <w:rsid w:val="007819A2"/>
    <w:rsid w:val="007828A1"/>
    <w:rsid w:val="00784455"/>
    <w:rsid w:val="00792C1A"/>
    <w:rsid w:val="0079392E"/>
    <w:rsid w:val="007B19F5"/>
    <w:rsid w:val="007B4434"/>
    <w:rsid w:val="007C565E"/>
    <w:rsid w:val="007E258D"/>
    <w:rsid w:val="007E3A07"/>
    <w:rsid w:val="007E6C36"/>
    <w:rsid w:val="007F6DF3"/>
    <w:rsid w:val="00805DF1"/>
    <w:rsid w:val="0080759A"/>
    <w:rsid w:val="00813872"/>
    <w:rsid w:val="00813E66"/>
    <w:rsid w:val="00815D30"/>
    <w:rsid w:val="00825C4B"/>
    <w:rsid w:val="00831B6E"/>
    <w:rsid w:val="00833CF3"/>
    <w:rsid w:val="00837677"/>
    <w:rsid w:val="008417A7"/>
    <w:rsid w:val="00841E38"/>
    <w:rsid w:val="0084631F"/>
    <w:rsid w:val="0085087D"/>
    <w:rsid w:val="008556F6"/>
    <w:rsid w:val="00871D05"/>
    <w:rsid w:val="008853D0"/>
    <w:rsid w:val="00894D00"/>
    <w:rsid w:val="008A7F52"/>
    <w:rsid w:val="008B014A"/>
    <w:rsid w:val="008B3F90"/>
    <w:rsid w:val="008B44DA"/>
    <w:rsid w:val="008B7B11"/>
    <w:rsid w:val="008C18F1"/>
    <w:rsid w:val="008E0799"/>
    <w:rsid w:val="008E4BA5"/>
    <w:rsid w:val="008F3DB7"/>
    <w:rsid w:val="008F4139"/>
    <w:rsid w:val="00900799"/>
    <w:rsid w:val="00910D3F"/>
    <w:rsid w:val="00915D00"/>
    <w:rsid w:val="0092092A"/>
    <w:rsid w:val="00927392"/>
    <w:rsid w:val="00927CC3"/>
    <w:rsid w:val="00946ECD"/>
    <w:rsid w:val="009676C6"/>
    <w:rsid w:val="00970EB0"/>
    <w:rsid w:val="00971670"/>
    <w:rsid w:val="0097206C"/>
    <w:rsid w:val="00973DE0"/>
    <w:rsid w:val="0097483F"/>
    <w:rsid w:val="00976CA3"/>
    <w:rsid w:val="00982874"/>
    <w:rsid w:val="00982AFA"/>
    <w:rsid w:val="00993EF9"/>
    <w:rsid w:val="009A69C7"/>
    <w:rsid w:val="009B49C6"/>
    <w:rsid w:val="009B7BCD"/>
    <w:rsid w:val="009C0447"/>
    <w:rsid w:val="009C56F0"/>
    <w:rsid w:val="009D4E34"/>
    <w:rsid w:val="009E1B94"/>
    <w:rsid w:val="009E2BF2"/>
    <w:rsid w:val="009F6DE5"/>
    <w:rsid w:val="00A05D69"/>
    <w:rsid w:val="00A07253"/>
    <w:rsid w:val="00A23B00"/>
    <w:rsid w:val="00A256A3"/>
    <w:rsid w:val="00A315B4"/>
    <w:rsid w:val="00A35932"/>
    <w:rsid w:val="00A44356"/>
    <w:rsid w:val="00A72A94"/>
    <w:rsid w:val="00A8250B"/>
    <w:rsid w:val="00A93546"/>
    <w:rsid w:val="00A95578"/>
    <w:rsid w:val="00A9721C"/>
    <w:rsid w:val="00AA0EB8"/>
    <w:rsid w:val="00AA667B"/>
    <w:rsid w:val="00AA7BED"/>
    <w:rsid w:val="00AB5D3C"/>
    <w:rsid w:val="00AB71F3"/>
    <w:rsid w:val="00AC2B67"/>
    <w:rsid w:val="00AD71E2"/>
    <w:rsid w:val="00B027D7"/>
    <w:rsid w:val="00B137D1"/>
    <w:rsid w:val="00B13A62"/>
    <w:rsid w:val="00B179A8"/>
    <w:rsid w:val="00B249EA"/>
    <w:rsid w:val="00B2576D"/>
    <w:rsid w:val="00B3405D"/>
    <w:rsid w:val="00B516AE"/>
    <w:rsid w:val="00B552B5"/>
    <w:rsid w:val="00B578F9"/>
    <w:rsid w:val="00B57F88"/>
    <w:rsid w:val="00B745CD"/>
    <w:rsid w:val="00B81B99"/>
    <w:rsid w:val="00B866C1"/>
    <w:rsid w:val="00B9124C"/>
    <w:rsid w:val="00B91B25"/>
    <w:rsid w:val="00BA144F"/>
    <w:rsid w:val="00BA5D44"/>
    <w:rsid w:val="00BB5E0B"/>
    <w:rsid w:val="00BF35DA"/>
    <w:rsid w:val="00BF4DCE"/>
    <w:rsid w:val="00BF738C"/>
    <w:rsid w:val="00C02CD4"/>
    <w:rsid w:val="00C063CC"/>
    <w:rsid w:val="00C2096C"/>
    <w:rsid w:val="00C244D2"/>
    <w:rsid w:val="00C41B0E"/>
    <w:rsid w:val="00C47BE7"/>
    <w:rsid w:val="00C536EF"/>
    <w:rsid w:val="00C83FA0"/>
    <w:rsid w:val="00C907CF"/>
    <w:rsid w:val="00C90D60"/>
    <w:rsid w:val="00C91B80"/>
    <w:rsid w:val="00CA2C4D"/>
    <w:rsid w:val="00CA58FE"/>
    <w:rsid w:val="00CA7AF8"/>
    <w:rsid w:val="00CC09F5"/>
    <w:rsid w:val="00CD56BF"/>
    <w:rsid w:val="00CF3572"/>
    <w:rsid w:val="00CF4F8F"/>
    <w:rsid w:val="00D12557"/>
    <w:rsid w:val="00D15892"/>
    <w:rsid w:val="00D16321"/>
    <w:rsid w:val="00D20AD5"/>
    <w:rsid w:val="00D2173D"/>
    <w:rsid w:val="00D252D8"/>
    <w:rsid w:val="00D37917"/>
    <w:rsid w:val="00D43960"/>
    <w:rsid w:val="00D43B0A"/>
    <w:rsid w:val="00D50E1F"/>
    <w:rsid w:val="00D7203A"/>
    <w:rsid w:val="00D7293F"/>
    <w:rsid w:val="00D72A43"/>
    <w:rsid w:val="00D86EDC"/>
    <w:rsid w:val="00D92170"/>
    <w:rsid w:val="00D94659"/>
    <w:rsid w:val="00DA1D14"/>
    <w:rsid w:val="00DA5B11"/>
    <w:rsid w:val="00DD0391"/>
    <w:rsid w:val="00DD362E"/>
    <w:rsid w:val="00DE023A"/>
    <w:rsid w:val="00DE559D"/>
    <w:rsid w:val="00E14288"/>
    <w:rsid w:val="00E14AB4"/>
    <w:rsid w:val="00E14D79"/>
    <w:rsid w:val="00E30C06"/>
    <w:rsid w:val="00E31B94"/>
    <w:rsid w:val="00E43D81"/>
    <w:rsid w:val="00E46861"/>
    <w:rsid w:val="00E505EA"/>
    <w:rsid w:val="00E51B06"/>
    <w:rsid w:val="00E66F4D"/>
    <w:rsid w:val="00E728A3"/>
    <w:rsid w:val="00E809AA"/>
    <w:rsid w:val="00E841B7"/>
    <w:rsid w:val="00E96A58"/>
    <w:rsid w:val="00EA680C"/>
    <w:rsid w:val="00EB01BA"/>
    <w:rsid w:val="00EB0E7C"/>
    <w:rsid w:val="00EB4D45"/>
    <w:rsid w:val="00EC7F0C"/>
    <w:rsid w:val="00ED084B"/>
    <w:rsid w:val="00ED2E99"/>
    <w:rsid w:val="00ED35C9"/>
    <w:rsid w:val="00EF03CE"/>
    <w:rsid w:val="00F07A12"/>
    <w:rsid w:val="00F1138D"/>
    <w:rsid w:val="00F125E7"/>
    <w:rsid w:val="00F14025"/>
    <w:rsid w:val="00F21589"/>
    <w:rsid w:val="00F22E89"/>
    <w:rsid w:val="00F3326D"/>
    <w:rsid w:val="00F40D71"/>
    <w:rsid w:val="00F427BA"/>
    <w:rsid w:val="00F632BE"/>
    <w:rsid w:val="00F6633A"/>
    <w:rsid w:val="00F66AB8"/>
    <w:rsid w:val="00F67915"/>
    <w:rsid w:val="00F85201"/>
    <w:rsid w:val="00F90498"/>
    <w:rsid w:val="00FB2684"/>
    <w:rsid w:val="00FB68B3"/>
    <w:rsid w:val="00FD23D4"/>
    <w:rsid w:val="00FD3FCA"/>
    <w:rsid w:val="00FD4544"/>
    <w:rsid w:val="00FE2546"/>
    <w:rsid w:val="00FE3B4C"/>
    <w:rsid w:val="00FE6741"/>
    <w:rsid w:val="00FE6C9E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1A3E4-9F5C-4526-BD4C-AA4645A3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B1"/>
    <w:pPr>
      <w:spacing w:after="200" w:line="276" w:lineRule="auto"/>
    </w:pPr>
    <w:rPr>
      <w:rFonts w:ascii="Verdana" w:hAnsi="Verdana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0274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semiHidden/>
    <w:unhideWhenUsed/>
    <w:rsid w:val="002D78D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D78D0"/>
    <w:rPr>
      <w:rFonts w:ascii="Verdana" w:hAnsi="Verdana"/>
      <w:sz w:val="24"/>
      <w:szCs w:val="22"/>
      <w:lang w:eastAsia="en-US"/>
    </w:rPr>
  </w:style>
  <w:style w:type="table" w:styleId="a5">
    <w:name w:val="Table Grid"/>
    <w:basedOn w:val="a1"/>
    <w:uiPriority w:val="59"/>
    <w:rsid w:val="008417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5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56F6"/>
    <w:rPr>
      <w:rFonts w:ascii="Verdana" w:hAnsi="Verdana"/>
      <w:sz w:val="24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56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56F6"/>
    <w:rPr>
      <w:rFonts w:ascii="Verdana" w:hAnsi="Verdana"/>
      <w:sz w:val="24"/>
      <w:szCs w:val="22"/>
      <w:lang w:eastAsia="en-US"/>
    </w:rPr>
  </w:style>
  <w:style w:type="paragraph" w:styleId="aa">
    <w:name w:val="Normal (Web)"/>
    <w:basedOn w:val="a"/>
    <w:uiPriority w:val="99"/>
    <w:unhideWhenUsed/>
    <w:rsid w:val="00C91B80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147B9-1A51-41BE-ABE2-5D0D7A400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3423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lkolpakova-vm</dc:creator>
  <cp:lastModifiedBy>Сергей Дроздов</cp:lastModifiedBy>
  <cp:revision>12</cp:revision>
  <dcterms:created xsi:type="dcterms:W3CDTF">2025-03-21T14:49:00Z</dcterms:created>
  <dcterms:modified xsi:type="dcterms:W3CDTF">2025-05-12T12:58:00Z</dcterms:modified>
</cp:coreProperties>
</file>